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942c87ac5b6471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33345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TISNO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5.473.386,71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6.386.111,04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4.391.204,02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6.051.448,47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1.082.182,69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334.662,57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17.994,01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126.958,00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1.079.837,69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748.223,43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1.061.843,68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621.265,43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58,5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208.719,68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208.719,68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286.602,86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Općina Tisno je za ovo izvještajno razdoblje iskazala manjak prihoda i primitaka u iznosu od 286.602,86 EUR. Do iskazivanja manjka došlo je dijelom uslijed povećanih rashoda za plaće i režijske troškove zbog knjiženja plaće za 12/2025 i svih režijskih računa za 12/2025 (ukidanje vremenskih razgraničenja od 01.01.2025). Na financijski rezultat je velikim dijelom utjecalo povećanje rashoda za pokriće plaća i rashoda proračunskih korisnika za 33% u odnosu na 2024. godinu odnosno nominalno 424.819,51 EUR više nego u 2024.</w:t>
      </w:r>
    </w:p>
    <w:p>
      <w:r>
        <w:t xml:space="preserve">Važna stavka za iskazivanje negativnog financijskog rezultata je umanjenje naših prihoda s osnove stalnih poreza na nepokretnu imovinu, tj. ukidanja Poreza na kuće za odmor i  uvođenja Poreza na nekretnine gdje je Općina Tisno, obzirom da nije povećavala tarifu poreza po kvadratu, u odnosu na prošlu godinu izgubila cijelih 20% prihoda u korist Županije Šibensko-Kninske temeljem važećih propisa o raspodjeli tog prihoda. </w:t>
      </w:r>
    </w:p>
    <w:p>
      <w:r>
        <w:t xml:space="preserve">Općina Tisno je u trenutku pisanja ovih bilješki podmirila sve iskazane dospjele obveze na dan 31.12.2025.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od nesamostalnog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1.416.940,86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1.746.533,75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123,3</w:t>
            </w:r>
          </w:p>
        </w:tc>
      </w:tr>
    </w:tbl>
    <w:p>
      <w:pPr>
        <w:spacing w:before="0" w:after="0"/>
      </w:pPr>
    </w:p>
    <w:p>
      <w:r>
        <w:t xml:space="preserve">Porezni prihodi od poreza na dohodak ostvareni u iznosu 1.746.533,75 EUR indeksom 123,3 ukazuju na malo povećanje u odnosu na 2024. godinu zbog povećanja iznosa poreza na dohodak od nesamostalnog rada što je vjerojatno rezultat povećanja plaća na području Općine Tisno.</w:t>
      </w:r>
    </w:p>
    <w:p>
      <w:r>
        <w:t xml:space="preserve">2024. godine imali smo nešto  manji Povrat poreza i prireza po godišnjoj prijavi (šifra 6117) u odnosu na ovu godinu – indeks 116, a istovremeno je i manja uplata Poreza i prireza na dohodak po poreznoj prijavi (šifra 6115) – indeks 85,6.  Tako na Prihodima od poreza na dohodak (šifra 61111) bilježimo povećanje od 21% u odnosu na 2024. godinu.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Stalni porezi na nepokretnu imovinu (zemlju, zgrade, kuće i ostalo)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933.230,18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861.766,64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92,3</w:t>
            </w:r>
          </w:p>
        </w:tc>
      </w:tr>
    </w:tbl>
    <w:p>
      <w:pPr>
        <w:spacing w:before="0" w:after="0"/>
      </w:pPr>
    </w:p>
    <w:p>
      <w:r>
        <w:t xml:space="preserve">Ukidanje Poreza na kuće za odmor i uvođenje Poreza na nekretnine (pozicija 6131) dovelo nas je do indeksa 92,3 na toj poziciji zbog zakonski propisane raspodjele sredstava tj. uplata 20% naplaćenog dijela Županiji. Općina nije podizala iznos poreza po kvadratnom metru pa se tako na toj poziciji bilježi smanjenje prihoda.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Povremeni porezi na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594.099,24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686.097,77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115,5</w:t>
            </w:r>
          </w:p>
        </w:tc>
      </w:tr>
    </w:tbl>
    <w:p>
      <w:pPr>
        <w:spacing w:before="0" w:after="0"/>
      </w:pPr>
    </w:p>
    <w:p>
      <w:r>
        <w:t xml:space="preserve">Porez na promet nekretnina (šifra 6134) indeks 115,5 ostvaren je neznatno bolje nego 2024. pošto je direktno vezan uz stanje na tržištu prometa nekretninama i na njega nije moguće utjecati, a i teško ga je precizno planirati.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institucija i tijela EU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101.582,75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w:t>
            </w:r>
          </w:p>
        </w:tc>
      </w:tr>
    </w:tbl>
    <w:p>
      <w:pPr>
        <w:spacing w:before="0" w:after="0"/>
      </w:pPr>
    </w:p>
    <w:p>
      <w:r>
        <w:t xml:space="preserve">Pozicija 6323 - Sredstva ESF Fonda za projekt „Pomažemo jedni drugima III “ (Program Zaželi) u iznosu od  101.582,75 EUR</w:t>
      </w:r>
    </w:p>
    <w:p>
      <w:r>
        <w:t xml:space="preserve">Sredstva iskazana u koloni prethodne godine odnose se na  predujam sredstava is sredstava ESF fonda. Naime u 2024 godini je na snazi bila prethodno važeća metodologija  priznavanja prihoda i rashoda EU tijekova, pa smo prema toj metodologiji doznačeni predujam od 99.000,00 u 2024. knjižili kao prihod. </w:t>
      </w:r>
    </w:p>
    <w:p>
      <w:r>
        <w:t xml:space="preserve">S obzirom da je od 01. siječnja 2025. promijenjena metodologija  evidentiranja EU tijekova i uvedena obveza evidentiranja uplaćenih predujmova kao obveze za primljene predujmove, morali smo prema Okružnici o sastavljanju financijskih izvještaja Ministarstva financija napraviti korekciju financijskog rezultata za 2024. godinu. </w:t>
      </w:r>
    </w:p>
    <w:p>
      <w:r>
        <w:t xml:space="preserve">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490.098,06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614.616,17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125,4</w:t>
            </w:r>
          </w:p>
        </w:tc>
      </w:tr>
    </w:tbl>
    <w:p>
      <w:pPr>
        <w:spacing w:before="0" w:after="0"/>
      </w:pPr>
    </w:p>
    <w:p>
      <w:r>
        <w:t xml:space="preserve">-        Pozicija 6331 - sredstva iz proračuna Općine Murter za sufinanciranje poslovanja Dječjeg vrtića Spužvica u iznosu od 459.984,17 EUR</w:t>
      </w:r>
    </w:p>
    <w:p>
      <w:r>
        <w:t xml:space="preserve">-        Pozicija 6331 - sredstva iz državnog proračuna za fiskalnu održivost vrtića u iznosu od 154.632,00 EUR</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151.380,00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486.840,45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321,6</w:t>
            </w:r>
          </w:p>
        </w:tc>
      </w:tr>
    </w:tbl>
    <w:p>
      <w:pPr>
        <w:spacing w:before="0" w:after="0"/>
      </w:pPr>
    </w:p>
    <w:p>
      <w:r>
        <w:t xml:space="preserve">-        Pozicija 6332 – sredstva iz Ministarstva turizma i sporta za sanaciju krovišta sportske dvorane u iznosu od 193.830,00 EUR</w:t>
      </w:r>
    </w:p>
    <w:p>
      <w:r>
        <w:t xml:space="preserve">-        Pozicija 6332 – sredstva iz Fonda za zaštitu okoliša i energetsku učinkovitost  za izradu Strategiju zelene urbane obnove Općine Tisno u iznosu od 13.272,28 EUR</w:t>
      </w:r>
    </w:p>
    <w:p>
      <w:r>
        <w:t xml:space="preserve">-        Pozicija 6332 – sredstva Ministarstva RRFEU za uređenje šetnice Kapelica u Betini u iznosu od 44.200,00 </w:t>
      </w:r>
    </w:p>
    <w:p>
      <w:r>
        <w:t xml:space="preserve">-        Pozicija 6332 – sredstva iz Fonda za zaštitu okoliša i energetsku učinkovitost  za izradu Strategiju zelene urbane obnove Općine Tisno u iznosu od 1.327,21</w:t>
      </w:r>
    </w:p>
    <w:p>
      <w:r>
        <w:t xml:space="preserve">-        Pozicija 6332 – sredstva iz Ministarstva demografije u iznosu od 44.758,00 EURA za uređenje igrališta dječjeg vrtića Školjkica</w:t>
      </w:r>
    </w:p>
    <w:p>
      <w:r>
        <w:t xml:space="preserve">-        Pozicija 6332 – sredstva iz Ministarstva mora za uređenje šetnice Guščica u iznosu od 40.000,00 EUR</w:t>
      </w:r>
    </w:p>
    <w:p>
      <w:r>
        <w:t xml:space="preserve">-        Pozicija 6332 - Agencija za plaćanje u poljoprivredi i ruralni razvoj za potporu za lokalni razvoj u sklopu inicijative LEADER u iznosu od 22.164,41</w:t>
      </w:r>
    </w:p>
    <w:p>
      <w:r>
        <w:t xml:space="preserve">-        Pozicija 6332 – Državni proračun za uređenje igrališta u iznosu od 12.288,75 EUR</w:t>
      </w:r>
    </w:p>
    <w:p>
      <w:r>
        <w:t xml:space="preserve">-        Pozicija 6332 – Šibensko kninska županija za sanaciju pomorskog dobra u iznosu od 58.754,65 EUR</w:t>
      </w:r>
    </w:p>
    <w:p>
      <w:r>
        <w:t xml:space="preserve">-        Pozicija 6332 – Šibensko kninska županija za sanaciju pomorskog dobra u iznosu od 56.245,15 EUR</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izvanproračunskih korisnika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48.413,99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184.525,90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381,1</w:t>
            </w:r>
          </w:p>
        </w:tc>
      </w:tr>
    </w:tbl>
    <w:p>
      <w:pPr>
        <w:spacing w:before="0" w:after="0"/>
      </w:pPr>
    </w:p>
    <w:p>
      <w:r>
        <w:t xml:space="preserve">-        Pozicija 6342 – Fond za zaštitu okoliša i energetsku učinkovitost za pametna i održiva rješenja u iznosu od 17.845,65 </w:t>
      </w:r>
    </w:p>
    <w:p>
      <w:r>
        <w:t xml:space="preserve">-        Pozicija 6342 – Fond za zaštitu okoliša i energetsku učinkovitost za pametna i održiva rješenja u iznosu od 6.780,00 (radionice)</w:t>
      </w:r>
    </w:p>
    <w:p>
      <w:r>
        <w:t xml:space="preserve">-        Pozicija 6432 – Županijska uprava za ceste za rekonstrukciju dijela županijske ceste sa nogostupom u iznosu od 159.900,25 EUR</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458.212,01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358.047,70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78,1</w:t>
            </w:r>
          </w:p>
        </w:tc>
      </w:tr>
    </w:tbl>
    <w:p>
      <w:pPr>
        <w:spacing w:before="0" w:after="0"/>
      </w:pPr>
    </w:p>
    <w:p>
      <w:r>
        <w:t xml:space="preserve">Prihod od komunalnog doprinosa (šifra 6531) koji je u 2025. manji za 100.164,31 EUR – indeks 78,1  je potpuno ovisan o postupcima legalizacije i ishodovanja građevinskih dozvola teško ga je predvidjeti ili povećati.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566.358,99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617.746,87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109,1</w:t>
            </w:r>
          </w:p>
        </w:tc>
      </w:tr>
    </w:tbl>
    <w:p>
      <w:pPr>
        <w:spacing w:before="0" w:after="0"/>
      </w:pPr>
    </w:p>
    <w:p>
      <w:r>
        <w:t xml:space="preserve">Prihodi od komunalne naknade (šifra 6532) indeks 109,1 malo su bolji su prošlogodišnjih zbog učestalog slanja opomena i naplate starijih dugova.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4.391.204,02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6.051.448,47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137,8</w:t>
            </w:r>
          </w:p>
        </w:tc>
      </w:tr>
    </w:tbl>
    <w:p>
      <w:pPr>
        <w:spacing w:before="0" w:after="0"/>
      </w:pPr>
    </w:p>
    <w:p>
      <w:r>
        <w:t xml:space="preserve">Iznos na poziciji 3 – Rashodi poslovanja iskazan u iznosu od 6.051.448,47 EUR  za 37,8 % je veći u odnosu na ostvarenje u istom razdoblju prethodne godine, a objašnjenje većih odstupanja po pozicijama slijedi u nastavku.</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464.882,06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785.092,78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168,9</w:t>
            </w:r>
          </w:p>
        </w:tc>
      </w:tr>
    </w:tbl>
    <w:p>
      <w:pPr>
        <w:spacing w:before="0" w:after="0"/>
      </w:pPr>
    </w:p>
    <w:p>
      <w:r>
        <w:t xml:space="preserve">Na poziciji 31- Rashodi za zaposlene iskazan je iznos od 785.092,78  EUR sa indeksom povećanja 168,9. Do povećanja je došlo uslijed primjene novog Pravilnika o proračunskom računovodstvu, ukidanja konta 193 te knjiženja trinaest umjesto dvanaest plaća u 2025. godini. Isto tako, u ovom periodu isplaćena je i otpremnina za jednu djelatnicu prilikom odlaska u mirovinu.  Moramo napomenuti da su ovim rashodima i rashodi za plaće za gerontodomaćica uključenih u Program Zaželi.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1.018.353,61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1.717.203,53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168,6</w:t>
            </w:r>
          </w:p>
        </w:tc>
      </w:tr>
    </w:tbl>
    <w:p>
      <w:pPr>
        <w:spacing w:before="0" w:after="0"/>
      </w:pPr>
    </w:p>
    <w:p>
      <w:r>
        <w:t xml:space="preserve">Na poziciji  3232- Usluge tekućeg i investicijskog održavanja iskazan je iznos 1.717.203,53 i indeks 168,60  te predstavlja jedno od većih nominalnih povećanja uslijed prepozicioniranja stavki proračuna i planiranja investicija na pomorskom dobru, cestama i slično sa klase 4  na klasu 3 (ulaganja u nefinancijsku imovinu) temeljem naloga Državnog ureda za reviziju.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57.092,28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76.423,11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133,9</w:t>
            </w:r>
          </w:p>
        </w:tc>
      </w:tr>
    </w:tbl>
    <w:p>
      <w:pPr>
        <w:spacing w:before="0" w:after="0"/>
      </w:pPr>
    </w:p>
    <w:p>
      <w:r>
        <w:t xml:space="preserve">Na poziciji 3661 bilježimo indeks 133,9  uslijed povećanja stavke u proračunu koja se odnosi na refundacije plaća djelatnicima po sporazumu sa Šibensko-kninskom županijom zbog zapošljavanja novih djelatnika.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1.289.168,44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1.713.987,95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133,0</w:t>
            </w:r>
          </w:p>
        </w:tc>
      </w:tr>
    </w:tbl>
    <w:p>
      <w:pPr>
        <w:spacing w:before="0" w:after="0"/>
      </w:pPr>
    </w:p>
    <w:p>
      <w:r>
        <w:t xml:space="preserve">Na računu 367  indeks ostvarenja u odnosu na prethodnu godinu je 133,00. Do povećanja u nominalnom iznosu od 424.819,51 došlo je zbog povećanja troškova za plaće proračunskih korisnika prema važećim zakonskim propisima kao i povećanja cijena materijala i sredstava koje proračunski koriste u poslovanju. </w:t>
      </w:r>
    </w:p>
    <w:p>
      <w:r>
        <w:t xml:space="preserve">Iznos od 1.713.987,95 EUR na poziciji  odnosi se na rashode financiranja redovne djelatnosti proračunskih korisnika iz izvora Općih prihoda i primitaka  kako slijedi: </w:t>
      </w:r>
    </w:p>
    <w:p>
      <w:r>
        <w:t xml:space="preserve">-        Dječji vrtić Vrapčić Tisno u iznosu od 1.188.946,14 EUR</w:t>
      </w:r>
    </w:p>
    <w:p>
      <w:r>
        <w:t xml:space="preserve">-        Narodna knjižnica i čitaonica Tisno u iznosu od 84.166,55 EUR</w:t>
      </w:r>
    </w:p>
    <w:p>
      <w:r>
        <w:t xml:space="preserve">-        Muzej betinske drvene brodogradnje Betina u iznosu  od 79.249,97 EUR </w:t>
      </w:r>
    </w:p>
    <w:p>
      <w:r>
        <w:t xml:space="preserve">-        Dom za starije osobe Tisno u iznosu od 310.450,00 EUR</w:t>
      </w:r>
    </w:p>
    <w:p>
      <w:r>
        <w:t xml:space="preserve">-        Ustanova za upravljanje sportskim objektima u iznosu od 51.175,27 EUR</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116.313,50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167.949,95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144,4</w:t>
            </w:r>
          </w:p>
        </w:tc>
      </w:tr>
    </w:tbl>
    <w:p>
      <w:pPr>
        <w:spacing w:before="0" w:after="0"/>
      </w:pPr>
    </w:p>
    <w:p>
      <w:r>
        <w:t xml:space="preserve">Na poziciji 3721 – Naknade građanima i kućanstvima u novcu iskazan je iznos od 167.949,95 EUR i indeks 144,4. Izvršenje je veće od izvršenja istog razdoblja prethodne godine zbog uvrštenja dodatnih rashoda uz redovne rashode i to : - Knjiženja ugovora o zajedničkom financiranju studenata medicinskog područja potpisanog sa Šibensko kninskom županijom u iznosu od 3.400,00 EUR - Knjiženje sporazuma za sanaciju stambenog prostora jedne obitelji  sa Caritasom Šibensko kninske županije u iznosu od 3.864,00 EUR  - Knjiženja isplate po Odluci načelnika za pokriće troškova pogreba u iznosu od 1.282,00 EUR  - Knjiženja isplate za izradu rampe za invalide po odluci Vijeća u iznosu od 6.750,00 EUR - Knjiženja isplate za ugradnju solara po odluci vijeća u iznosu 5.800,00 EUR, podmirenja troškova pogreba u iznosu od 2.292,40 EUR, povećanja broja novih stipendista za akademsku godinu 2025/2026 i sličnih potreba građana i kućanstava na području Općine Tisno.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neprofitnim organizacijama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26.906,25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478,9</w:t>
            </w:r>
          </w:p>
        </w:tc>
      </w:tr>
    </w:tbl>
    <w:p>
      <w:pPr>
        <w:spacing w:before="0" w:after="0"/>
      </w:pPr>
    </w:p>
    <w:p>
      <w:r>
        <w:t xml:space="preserve">Na poziciji 3821 iskazana su sredstva za kapitalne donacije vjerskim organizacijama (župnim uredima s područja Općine Tisno) za uređenje vjerskih objekata u iznosu 20.000,00 EUR i kapitalnu donaciju DVD Tisno za radove na vatrogasnom domu u Tisnome u iznosu od 6.906,25 EUR</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17.994,01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w:t>
            </w:r>
          </w:p>
        </w:tc>
      </w:tr>
    </w:tbl>
    <w:p>
      <w:pPr>
        <w:spacing w:before="0" w:after="0"/>
      </w:pPr>
    </w:p>
    <w:p>
      <w:r>
        <w:t xml:space="preserve">Na računu 7111 iskazan je iznos od 12.768,00 EUR  a koji se odnosi na dva kupoprodajna ugovora i  prodaju  čestica zemlje 10024/3 i 7760/92 sve  K.O. Tisno sveukupne površine 241m2. Općina Tisno provela je javne natječaj te je nakon provedenih javnih natječaja na kojima su utvrđeni najpovoljniji ponuditelji, Općinsko Vijeće je donijelo Odluku o prodaji nekretnina.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računu 7211 iskazan iznos od 114.190,00 EUR a koji se odnosi na kupoprodajni ugovor za prodaju zgrade  čest. zgr. 611 K.O. Tisno koji je Općina Tisno naslijedila kao ošasnu ostavinu. Za navedenu transakciju proveden je javni natječaj, odabran najpovoljniji ponuditelj te je Općinsko vijeće donijelo Odluku o prodaju nekretnine. Kupac je podmirio troškove izrade elaborata tržišne vrijednosti i objavu javnog natječaja, a Općina Tisno je odmah po isplati kupoprodajne cijene podmirila u cijelosti novčane tražbine naslijeđene po ošasnoj ostavini, a sve u svrhu ishodovanja brisovnog očitovanja za brisanje založnog prava na nekretnini.</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47.809,72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16.557,15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w:t>
            </w:r>
          </w:p>
        </w:tc>
      </w:tr>
    </w:tbl>
    <w:p>
      <w:pPr>
        <w:spacing w:before="0" w:after="0"/>
      </w:pPr>
    </w:p>
    <w:p>
      <w:r>
        <w:t xml:space="preserve">4111 – kupovina zemljišta za proširenje groblja u Jezerima   -  16.557,15 EUR</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33.372,44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64.268,75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192,6</w:t>
            </w:r>
          </w:p>
        </w:tc>
      </w:tr>
    </w:tbl>
    <w:p>
      <w:pPr>
        <w:spacing w:before="0" w:after="0"/>
      </w:pPr>
    </w:p>
    <w:p>
      <w:r>
        <w:t xml:space="preserve">4214 – izgradnja javne rasvjete na području Općine Tisno  64.268,75 EUR</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17.302,79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17.554,68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w:t>
            </w:r>
          </w:p>
        </w:tc>
      </w:tr>
    </w:tbl>
    <w:p>
      <w:pPr>
        <w:spacing w:before="0" w:after="0"/>
      </w:pPr>
    </w:p>
    <w:p>
      <w:r>
        <w:t xml:space="preserve">4211 – nabava računalne, uredske i ostale opreme  17.554,68 EUR</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136.337,16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14.961,64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w:t>
            </w:r>
          </w:p>
        </w:tc>
      </w:tr>
    </w:tbl>
    <w:p>
      <w:pPr>
        <w:spacing w:before="0" w:after="0"/>
      </w:pPr>
    </w:p>
    <w:p>
      <w:r>
        <w:t xml:space="preserve">4227 – nabava opreme za regulaciju prometa za komunalno redarstvo  1.186,64 EUR </w:t>
      </w:r>
      <w:r>
        <w:br/>
      </w:r>
      <w:r>
        <w:t xml:space="preserve">4227-   video nadzor kod sportske dvorane u Tisnome  2.150,00 EUR </w:t>
      </w:r>
      <w:r>
        <w:br/>
      </w:r>
      <w:r>
        <w:t xml:space="preserve">4227 – nabava opreme za božićnu rasvjetu (dvije velike stožac jelke za trgove na području Općine Tisno ) 11.625,00 EUR</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47.115,77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4231 – nabava kombi vozila Renault Traffic Passenger  47.115,77 EUR</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w:t>
            </w:r>
          </w:p>
        </w:tc>
      </w:tr>
    </w:tbl>
    <w:p>
      <w:pPr>
        <w:spacing w:before="0" w:after="0"/>
      </w:pPr>
    </w:p>
    <w:p>
      <w:r>
        <w:t xml:space="preserve">4264 – izrada prostorno planske dokumentacije  11.350,00 EUR</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693.815,58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576.415,44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w:t>
            </w:r>
          </w:p>
        </w:tc>
      </w:tr>
    </w:tbl>
    <w:p>
      <w:pPr>
        <w:spacing w:before="0" w:after="0"/>
      </w:pPr>
    </w:p>
    <w:p>
      <w:r>
        <w:t xml:space="preserve">4511 Uređenje zgrade Općine Tisno  8.087,50 EUR </w:t>
      </w:r>
      <w:r>
        <w:br/>
      </w:r>
      <w:r>
        <w:t xml:space="preserve">4511 Uređenje igrališta dječjeg vrtića  65.815,00 EUR </w:t>
      </w:r>
      <w:r>
        <w:br/>
      </w:r>
      <w:r>
        <w:t xml:space="preserve">4511 Uređenje doma u Jezerima  25.328,41 EUR </w:t>
      </w:r>
      <w:r>
        <w:br/>
      </w:r>
      <w:r>
        <w:t xml:space="preserve">4511 Uređenje sportskih igrališta  25.100,00 EUR </w:t>
      </w:r>
      <w:r>
        <w:br/>
      </w:r>
      <w:r>
        <w:t xml:space="preserve">4511 Uređenje krovišta sportske dvorane u Tisnome  223.531,78 EUR </w:t>
      </w:r>
      <w:r>
        <w:br/>
      </w:r>
      <w:r>
        <w:t xml:space="preserve">4511 Nabava video nadzora za mjerenje brzine 31.708,00 EUR</w:t>
      </w:r>
      <w:r>
        <w:br/>
      </w:r>
      <w:r>
        <w:t xml:space="preserve">4511 Ograda igrališta u Betini  27.786,00 EUR </w:t>
      </w:r>
      <w:r>
        <w:br/>
      </w:r>
      <w:r>
        <w:t xml:space="preserve">4511 Uređenje platoa kod Brošćice  58.831,25 EUR </w:t>
      </w:r>
      <w:r>
        <w:br/>
      </w:r>
      <w:r>
        <w:t xml:space="preserve">4511 Uređenje dječjih igrališta  21.068,75 EUR </w:t>
      </w:r>
      <w:r>
        <w:br/>
      </w:r>
      <w:r>
        <w:t xml:space="preserve">4511 Priprema projekta Putevima tišnjanske i jezerske prošlosti  36.450,00 EUR </w:t>
      </w:r>
      <w:r>
        <w:br/>
      </w:r>
      <w:r>
        <w:t xml:space="preserve">4511 Uređenje poslovne zone Dubrava  52.708,75 EUR</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208.719,68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Uslijed nemogućnosti osiguranja likvidnosti proračuna, a sve zbog izostanka ukinutog poreza na kuće za odmor te kašnjenja u uvođenju poreza na nekretnine zbog složenosti uspostave novog sustava oporezivanja, Općina Tisno je s OTP bankom sklopila ugovor o dozvoljenom prekoračenju na žiro računu u iznosu od 300.000,00 s rokom korištenja do 31.12.2025.  te je do trenutku pisanja ovog obračuna koristila 208.719,68 EUR što je vidljivo na poziciji 5443 ovog izvještaja. Na dan 31.12.2025. nema korištenja prekoračenja.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20.980.293,03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21.690.315,26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103,4</w:t>
            </w:r>
          </w:p>
        </w:tc>
      </w:tr>
    </w:tbl>
    <w:p>
      <w:pPr>
        <w:spacing w:before="0" w:after="0"/>
      </w:pPr>
    </w:p>
    <w:p>
      <w:r>
        <w:t xml:space="preserve">Indeks ostvarenja u odnosu na prethodne godine iskazan u koloni 6 (103,4) pokazuje povećanje vrijednosti  imovine u realnom iznosu od 710.022,23 EUR.  </w:t>
      </w:r>
    </w:p>
    <w:p>
      <w:r>
        <w:t xml:space="preserve">Povećanje se može pratiti kroz šifre 02 – indeks 108,02 te analitički kroz pozicije 0212 – povećanje vrijednosti poslovnih objekata i 0213 – uknjiženje cesta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u pripremi (šifre 051 do 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368.890,88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219.741,10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w:t>
            </w:r>
          </w:p>
        </w:tc>
      </w:tr>
    </w:tbl>
    <w:p>
      <w:pPr>
        <w:spacing w:before="0" w:after="0"/>
      </w:pPr>
    </w:p>
    <w:p>
      <w:r>
        <w:t xml:space="preserve">Studije i projekti za Tragom tišnjanske i jezerske prošlosti  23.125,00 EUR </w:t>
      </w:r>
      <w:r>
        <w:br/>
      </w:r>
      <w:r>
        <w:t xml:space="preserve">Radovi na općinskoj zgradi – Dom u Jezerima 38.653,41 EUR </w:t>
      </w:r>
      <w:r>
        <w:br/>
      </w:r>
      <w:r>
        <w:t xml:space="preserve">Multifunkcionalna zgrada Jezera 10.400,00 EUR </w:t>
      </w:r>
      <w:r>
        <w:br/>
      </w:r>
      <w:r>
        <w:t xml:space="preserve">Poslovna zona Dubrava kod Tisna 147.562,69 EUR </w:t>
      </w:r>
    </w:p>
    <w:p>
      <w:r>
        <w:t xml:space="preserve">Indeks od 59,6 pokazuje smanjenje zbog stavljanja objekata koji su prethodnih godina bili u pripremi u uporabu u 2025. </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24.326,29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-361.276,57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-1485,1</w:t>
            </w:r>
          </w:p>
        </w:tc>
      </w:tr>
    </w:tbl>
    <w:p>
      <w:pPr>
        <w:spacing w:before="0" w:after="0"/>
      </w:pPr>
    </w:p>
    <w:p>
      <w:r>
        <w:t xml:space="preserve">Razlika u strukturi financijskog rezultata između obrazaca PR-RAS i obrasca BIL proizlazi iz korekcije rezultata koja je izvršena je temeljem čl. 214. Pravilnika o računovodstvu koji propisuje prebijanje računa viškova i manjkova po istovrsnim kategorijama i izvorima financiranja.  Temeljem članka 215. izvršena je korekcija rezultata u iznosu 355.406,06 EUR  koji smo prenijeli sa viška od prihoda poslovanja i tim iznosom  zatvorili dio manjka  od nefinancijske imovine (prihodi poslovanja utrošeni za nefinancijsku imovinu – kapitalne pomoći, donacije za sufinanciranje nefinancijske imovine) </w:t>
      </w:r>
    </w:p>
    <w:p>
      <w:r>
        <w:t xml:space="preserve">S obzirom da je od 01. siječnja 2025. promijenjena metodologija  evidentiranja EU tijekova i uvedena obveza evidentiranja uplaćenih predujmova kao obveze za primljene predujmove, morali smo prema Okružnici o sastavljanju financijskih izvještaja Ministarstva financija napraviti korekciju financijskog rezultata za 2024. godinu. </w:t>
      </w:r>
    </w:p>
    <w:p>
      <w:r>
        <w:t xml:space="preserve">Naime u 2024 godini je na snazi bila prethodno važeća metodologija  priznavanja prihoda i rashoda EU tijekova, pa smo prema toj metodologiji doznačeni predujam od 99.000,00 u 2024. knjižili kao prihod. </w:t>
      </w:r>
    </w:p>
    <w:p>
      <w:r>
        <w:t xml:space="preserve">Postupili smo prema naputku iz Okružnice te iskazali obvezu za primljeni predujam, a višak od prihoda poslovanja 2024 korigirali za isti iznos. </w:t>
      </w:r>
    </w:p>
    <w:p>
      <w:r>
        <w:t xml:space="preserve">Na taj način se preneseni višak prihoda iz 2024. u iznosu 24.326,29 pretvorio u preneseni manjak prihoda 74.673,71 i povećao iznos manjka tekuće godine na 361.276,57 EUR.</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1.848.014,85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1.850.295,44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100,1</w:t>
            </w:r>
          </w:p>
        </w:tc>
      </w:tr>
    </w:tbl>
    <w:p>
      <w:pPr>
        <w:spacing w:before="0" w:after="0"/>
      </w:pPr>
    </w:p>
    <w:p>
      <w:r>
        <w:t xml:space="preserve">991 i 996 – Izvanbilančna evidencija</w:t>
      </w:r>
    </w:p>
    <w:p>
      <w:r>
        <w:t xml:space="preserve"> </w:t>
      </w:r>
    </w:p>
    <w:p>
      <w:r>
        <w:t xml:space="preserve">Na pozicijama izvanbilančne evidencije knjižene su:</w:t>
      </w:r>
    </w:p>
    <w:p>
      <w:r>
        <w:t xml:space="preserve">-        operativni leasing automobila u iznosu od 38.135,22 EUR </w:t>
      </w:r>
    </w:p>
    <w:p>
      <w:r>
        <w:t xml:space="preserve">-        dana jamstva 333.030 EUR  </w:t>
      </w:r>
    </w:p>
    <w:p>
      <w:r>
        <w:t xml:space="preserve">-        primljeni instrumenti osiguranja plaćanja 224.279,09 EUR  </w:t>
      </w:r>
    </w:p>
    <w:p>
      <w:r>
        <w:t xml:space="preserve">-        potencijalne obveze po osnovi sudskih sporova u tijeku i obveza preuzetih po osnovi ošasne ostavine u iznosu 861.433,88 EUR </w:t>
      </w:r>
    </w:p>
    <w:p>
      <w:r>
        <w:t xml:space="preserve">-        potraživanja po ugovorima o dodijeljenim bespovratnim sredstvima iz EU Fondova u iznosu od 393.417,25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 obzirom da je od 01. siječnja 2025. promijenjena metodologija  evidentiranja EU tijekova i uvedena obveza evidentiranja uplaćenih predujmova kao obveze za primljene predujmove, morali smo prema Okružnici o sastavljanju financijskih izvještaja Ministarstva financija napraviti korekciju financijskog rezultata za 2024. godinu. </w:t>
      </w:r>
    </w:p>
    <w:p>
      <w:r>
        <w:t xml:space="preserve">Naime u 2024 godini je na snazi bila prethodno važeća metodologija  priznavanja prihoda i rashoda EU tijekova, pa smo prema toj metodologiji doznačeni predujam od 99.000,00 u 2024. knjižili kao prihod. </w:t>
      </w:r>
    </w:p>
    <w:p>
      <w:r>
        <w:t xml:space="preserve">Postupili smo prema naputku iz Okružnice te iskazali obvezu za primljeni predujam, a višak od prihoda poslovanja 2024 korigirali za isti iznos.</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 promjena u vrijednosti imovine došlo je zbog otpisa dugotrajne imovine koja je u trenutku otpisa imala sadašnju vrijednost.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568.581,43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obveze prema dobavljačima  - 386.228,54 EUR</w:t>
      </w:r>
      <w:r>
        <w:br/>
      </w:r>
      <w:r>
        <w:t xml:space="preserve">- obveze sredstva naknade za nezakonito izgrađene zgrade  -  4.304,13 EUR</w:t>
      </w:r>
      <w:r>
        <w:br/>
      </w:r>
      <w:r>
        <w:t xml:space="preserve">- obveze za naknadu za uređenje voda  - 316,37 EUR</w:t>
      </w:r>
      <w:r>
        <w:br/>
      </w:r>
      <w:r>
        <w:t xml:space="preserve">- obveze za zaposlene  - plaća 12/2025 -  36.930,81 EUR                                      </w:t>
      </w:r>
      <w:r>
        <w:br/>
      </w:r>
      <w:r>
        <w:t xml:space="preserve">- obveze za porez – plaća 12/2025  - 4.177,68 EUR</w:t>
      </w:r>
      <w:r>
        <w:br/>
      </w:r>
      <w:r>
        <w:t xml:space="preserve">  Obveze za ostale naknade iz plaća 12/2025 -  2.125,00 EUR</w:t>
      </w:r>
      <w:r>
        <w:br/>
      </w:r>
      <w:r>
        <w:t xml:space="preserve">- obveze za doprinose na plaću 12/2025  - 8.429,27 EUR</w:t>
      </w:r>
      <w:r>
        <w:br/>
      </w:r>
      <w:r>
        <w:t xml:space="preserve">- obveze za doprinose iz plaće 12/2025  - 9.978,12 EUR</w:t>
      </w:r>
      <w:r>
        <w:br/>
      </w:r>
      <w:r>
        <w:t xml:space="preserve">-  obveze za jamčevine - 36.482,93 EUR</w:t>
      </w:r>
      <w:r>
        <w:br/>
      </w:r>
      <w:r>
        <w:t xml:space="preserve">-Obveze za EU predujmove  - 74.936,61 EUR</w:t>
      </w:r>
      <w:r>
        <w:br/>
      </w:r>
      <w:r>
        <w:t xml:space="preserve">-Obveze po autorskim ugovorima  - 4.671,97 EUR</w:t>
      </w:r>
      <w:r>
        <w:br/>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264.997,16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trenutku sastavljanja ovog izvještaja podmirena je većina dospjelih obveza.</w:t>
      </w:r>
    </w:p>
    <w:p/>
    <w:p>
      <w:pPr>
        <w:jc w:val="center"/>
        <w:pStyle w:val="Normal"/>
        <w:spacing w:line="240" w:lineRule="auto"/>
        <w:keepNext/>
      </w:pPr>
      <w:r>
        <w:rPr>
          <w:sz w:val="28"/>
          <w:rFonts w:ascii="Times New Roman" w:hAnsi="Times New Roman"/>
        </w:rPr>
        <w:t xml:space="preserve">Bilješka 36.</w:t>
      </w:r>
    </w:p>
    <w:p>
      <w:pPr>
        <w:jc w:val="both"/>
        <w:pStyle w:val="Normal"/>
        <w:spacing w:line="240" w:lineRule="auto"/>
      </w:pPr>
      <w:r>
        <w:rPr>
          <w:b/>
          <w:sz w:val="24"/>
          <w:rFonts w:ascii="Times New Roman" w:hAnsi="Times New Roman"/>
        </w:rPr>
        <w:t xml:space="preserve">EU izvještaj</w:t>
      </w:r>
    </w:p>
    <w:p>
      <w:r>
        <w:t xml:space="preserve">U travnju 2024. Općini Tisno je potpisala ugovor o dodjeli bespovratnih sredstava sa Ministarstvom rada i Hrvatskim Zavodom za zapošljavanje za sredstva iz Europskog socijalnog fonda za projekt "pomažemo jedni drugima III " u iznosu od 495.000,00 EUR</w:t>
      </w:r>
    </w:p>
    <w:p>
      <w:r>
        <w:t xml:space="preserve">U 2024. godini Općini Tisno je doznačen predujam od 99.000,00 EUR. </w:t>
      </w:r>
    </w:p>
    <w:p>
      <w:r>
        <w:t xml:space="preserve">U 2025. odobreno je četiri ZNS u ukupnom iznosu od 101.527,00 što je Općina uprihodovala i prikazala poziciji 6 obrasca EU Izvještaj. </w:t>
      </w:r>
    </w:p>
    <w:p>
      <w:r>
        <w:t xml:space="preserve">Od doznačenog avansa iz 2024. iskorišteno je 24.063,39 tako da je stanje avansa na 31.12.2025.- 74.936,61 EUR </w:t>
      </w:r>
    </w:p>
    <w:p>
      <w:r>
        <w:t xml:space="preserve">Izvanbilančno prikazujemo da je na dan 31.12.2025 od ukupnih ugovorenih sredstava ostalo 393.417,25 EUR za daljnju provedbu projekta.</w:t>
      </w:r>
    </w:p>
    <w:p>
      <w:r>
        <w:t xml:space="preserve">Napominjemo da je 2024 godini  na snazi bila prethodno važeća metodologija  priznavanja prihoda i rashoda EU tijekova, pa smo prema toj metodologiji doznačeni predujam od 99.000,00 u 2024. knjižili kao prihod. S obzirom da je od 01. siječnja 2025. promijenjena metodologija evidentiranja EU tijekova i uvedena obveza evidentiranja uplaćenih predujmova kao obveze za primljene predujmove, morali smo prema Okružnici o sastavljanju financijskih izvještaja Ministarstva financija napraviti korekciju financijskog rezultata za 2024. godinu.</w:t>
      </w:r>
    </w:p>
    <w:p>
      <w:r>
        <w:t xml:space="preserve">Postupili smo prema naputku iz Okružnice te iskazali obvezu za primljeni predujam, a višak od prihoda poslovanja 2024 korigirali za isti iznos. </w:t>
      </w:r>
    </w:p>
    <w:p>
      <w:r>
        <w:t xml:space="preserve"> </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2b55e92389394bd9" /></Relationships>
</file>